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Capital</w:t>
      </w:r>
    </w:p>
    <w:p>
      <w:pPr>
        <w:jc w:val="both"/>
        <w:spacing w:before="100" w:after="100"/>
        <w:ind w:start="360"/>
        <w:ind w:firstLine="360"/>
      </w:pPr>
      <w:r>
        <w:rPr/>
      </w:r>
      <w:r>
        <w:rPr/>
      </w:r>
      <w:r>
        <w:t xml:space="preserve">A nondepository trust company must have initial paid-in capital in accordance with </w:t>
      </w:r>
      <w:r>
        <w:t>chapter 31</w:t>
      </w:r>
      <w:r>
        <w:t xml:space="preserve"> and shall maintain capital in accordance with </w:t>
      </w:r>
      <w:r>
        <w:t>section 412‑A</w:t>
      </w:r>
      <w:r>
        <w:t xml:space="preserve"> and any rules adopted under </w:t>
      </w:r>
      <w:r>
        <w:t>section 412‑A</w:t>
      </w:r>
      <w:r>
        <w:t xml:space="preserve">, except the superintendent may establish different capital maintenance requirements for nondepository trust companies than those required for other financial institutions organized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§1213.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§1213.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