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Expedited authority</w:t>
      </w:r>
    </w:p>
    <w:p>
      <w:pPr>
        <w:jc w:val="both"/>
        <w:spacing w:before="100" w:after="100"/>
        <w:ind w:start="360"/>
        <w:ind w:firstLine="360"/>
      </w:pPr>
      <w:r>
        <w:rPr/>
      </w:r>
      <w:r>
        <w:rPr/>
      </w:r>
      <w:r>
        <w:t xml:space="preserve">Notwithstanding any other provision of law, the superintendent may grant a certificate of public convenience and advantage for a corporation, limited liability company, limited partnership or limited liability partnership to conduct business as a financial institution effective immediately if the superintendent determines that such action is necessary for the protection of depositors or the public.  This action may be taken only in conjunction with transactions processed under </w:t>
      </w:r>
      <w:r>
        <w:t>section 354‑A</w:t>
      </w:r>
      <w:r>
        <w:t xml:space="preserve"> or </w:t>
      </w:r>
      <w:r>
        <w:t>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§1 (NEW). PL 1997, c. 398, §C8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§312-A. Expedited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Expedited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§312-A. EXPEDITED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