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Applicability of chapter</w:t>
      </w:r>
    </w:p>
    <w:p>
      <w:pPr>
        <w:jc w:val="both"/>
        <w:spacing w:before="100" w:after="100"/>
        <w:ind w:start="360"/>
        <w:ind w:firstLine="360"/>
      </w:pPr>
      <w:r>
        <w:rPr/>
      </w:r>
      <w:r>
        <w:rPr/>
      </w:r>
      <w:r>
        <w:t xml:space="preserve">The provisions of this chapter govern the services and incidental activities offered by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I,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