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Transfer of fiduciary relationships to and from affiliated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Transfer of fiduciary relationships to and from affiliated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§476. TRANSFER OF FIDUCIARY RELATIONSHIPS TO AND FROM AFFILIATED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