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5005-A</w:t>
        <w:t xml:space="preserve">.  </w:t>
      </w:r>
      <w:r>
        <w:rPr>
          <w:b/>
        </w:rPr>
        <w:t xml:space="preserve">Records</w:t>
      </w:r>
    </w:p>
    <w:p>
      <w:pPr>
        <w:jc w:val="both"/>
        <w:spacing w:before="100" w:after="0"/>
        <w:ind w:start="360"/>
        <w:ind w:firstLine="360"/>
      </w:pPr>
      <w:r>
        <w:rPr>
          <w:b/>
        </w:rPr>
        <w:t>1</w:t>
        <w:t xml:space="preserve">.  </w:t>
      </w:r>
      <w:r>
        <w:rPr>
          <w:b/>
        </w:rPr>
        <w:t xml:space="preserve">Books and records.</w:t>
        <w:t xml:space="preserve"> </w:t>
      </w:r>
      <w:r>
        <w:t xml:space="preserve"> </w:t>
      </w:r>
      <w:r>
        <w:t xml:space="preserve">A charitable organization shall maintain accurate and complete books and records of all fund-raising campaigns and shall keep those books and records available for inspection by or production to the Attorney General or the director for 3 years after the conclusion of each fund-raising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100"/>
        <w:ind w:start="360"/>
        <w:ind w:firstLine="360"/>
      </w:pPr>
      <w:r>
        <w:rPr>
          <w:b/>
        </w:rPr>
        <w:t>2</w:t>
        <w:t xml:space="preserve">.  </w:t>
      </w:r>
      <w:r>
        <w:rPr>
          <w:b/>
        </w:rPr>
        <w:t xml:space="preserve">Audited financial statement.</w:t>
        <w:t xml:space="preserve"> </w:t>
      </w:r>
      <w:r>
        <w:t xml:space="preserve"> </w:t>
      </w:r>
      <w:r>
        <w:t xml:space="preserve">A charitable organization shall produce upon request of the Attorney General or the director, in conjunction with an application for initial or renewal licensure or at any other time:</w:t>
      </w:r>
    </w:p>
    <w:p>
      <w:pPr>
        <w:jc w:val="both"/>
        <w:spacing w:before="100" w:after="0"/>
        <w:ind w:start="720"/>
      </w:pPr>
      <w:r>
        <w:rPr/>
        <w:t>A</w:t>
        <w:t xml:space="preserve">.  </w:t>
      </w:r>
      <w:r>
        <w:rPr/>
      </w:r>
      <w:r>
        <w:t xml:space="preserve">An audited financial statement of the charitable organization's most recent audited fiscal year if one has been prepared in order to comply with the requirements of another jurisdiction or otherwise exists; or</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w:pPr>
        <w:jc w:val="both"/>
        <w:spacing w:before="100" w:after="0"/>
        <w:ind w:start="720"/>
      </w:pPr>
      <w:r>
        <w:rPr/>
        <w:t>B</w:t>
        <w:t xml:space="preserve">.  </w:t>
      </w:r>
      <w:r>
        <w:rPr/>
      </w:r>
      <w:r>
        <w:t xml:space="preserve">If an audited financial statement under </w:t>
      </w:r>
      <w:r>
        <w:t>paragraph A</w:t>
      </w:r>
      <w:r>
        <w:t xml:space="preserve"> does not exist, a balance sheet identifying assets and liabilities and an income statement identifying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0"/>
        <w:ind w:start="360"/>
        <w:ind w:firstLine="360"/>
      </w:pPr>
      <w:r>
        <w:rPr>
          <w:b/>
        </w:rPr>
        <w:t>3</w:t>
        <w:t xml:space="preserve">.  </w:t>
      </w:r>
      <w:r>
        <w:rPr>
          <w:b/>
        </w:rPr>
        <w:t xml:space="preserve">Tax returns.</w:t>
        <w:t xml:space="preserve"> </w:t>
      </w:r>
      <w:r>
        <w:t xml:space="preserve"> </w:t>
      </w:r>
      <w:r>
        <w:t xml:space="preserve">A charitable organization shall produce upon request of the Attorney General or the director, in conjunction with an application for initial or renewal licensure or at any other time, its 3 most recent federal Internal Revenue Service Form 990 and Schedule A, federal Internal Revenue Service Form 990-EZ or federal Internal Revenue Service Form 990-N, as required by the federal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§A14 (NEW). PL 2013, c. 313,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§5005-A.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§5005-A.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§5005-A.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