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5014</w:t>
        <w:t xml:space="preserve">.  </w:t>
      </w:r>
      <w:r>
        <w:rPr>
          <w:b/>
        </w:rPr>
        <w:t xml:space="preserve">Violation as unfair trade practice</w:t>
      </w:r>
    </w:p>
    <w:p>
      <w:pPr>
        <w:jc w:val="both"/>
        <w:spacing w:before="100" w:after="100"/>
        <w:ind w:start="360"/>
        <w:ind w:firstLine="360"/>
      </w:pPr>
      <w:r>
        <w:rPr/>
      </w:r>
      <w:r>
        <w:rPr/>
      </w:r>
      <w:r>
        <w:t xml:space="preserve">Any violation of this chapter shall constitute a violation of </w:t>
      </w:r>
      <w:r>
        <w:t>Title 5, chapter 10</w:t>
      </w:r>
      <w:r>
        <w:t xml:space="preserve">, the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100"/>
        <w:ind w:start="360"/>
        <w:ind w:firstLine="360"/>
      </w:pPr>
      <w:r>
        <w:rPr/>
      </w:r>
      <w:r>
        <w:rPr/>
      </w:r>
      <w:r>
        <w:t xml:space="preserve">Any intentional violation of this chapter shall be a Class D crime.</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§5014. Violation as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§5014. Violation as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§5014. VIOLATION AS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