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Meetings</w:t>
      </w:r>
    </w:p>
    <w:p>
      <w:pPr>
        <w:jc w:val="both"/>
        <w:spacing w:before="100" w:after="100"/>
        <w:ind w:start="360"/>
        <w:ind w:firstLine="360"/>
      </w:pPr>
      <w:r>
        <w:rPr/>
      </w:r>
      <w:r>
        <w:rPr/>
      </w:r>
      <w:r>
        <w:t xml:space="preserve">The commission shall meet on the call of the Speaker of the House or the President of the Senate to perform the duties required of it or as specifically provided in this chapter. The commission shall also meet at other times at the call of the chair or at the call of a majority of the members, provided all members are notified of the time, place and purpose of the meeting at least 24 hours in advance.</w:t>
      </w:r>
      <w:r>
        <w:t xml:space="preserve">  </w:t>
      </w:r>
      <w:r xmlns:wp="http://schemas.openxmlformats.org/drawingml/2010/wordprocessingDrawing" xmlns:w15="http://schemas.microsoft.com/office/word/2012/wordml">
        <w:rPr>
          <w:rFonts w:ascii="Arial" w:hAnsi="Arial" w:cs="Arial"/>
          <w:sz w:val="22"/>
          <w:szCs w:val="22"/>
        </w:rPr>
        <w:t xml:space="preserve">[PL 2001,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§1 (AMD). PL 2001, c. 430,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§1004.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§1004.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