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Waiting period before engaging in lobbying activities</w:t>
      </w:r>
    </w:p>
    <w:p>
      <w:pPr>
        <w:jc w:val="both"/>
        <w:spacing w:before="100" w:after="100"/>
        <w:ind w:start="360"/>
        <w:ind w:firstLine="360"/>
      </w:pPr>
      <w:r>
        <w:rPr>
          <w:b/>
        </w:rPr>
        <w:t>1</w:t>
        <w:t xml:space="preserve">.  </w:t>
      </w:r>
      <w:r>
        <w:rPr>
          <w:b/>
        </w:rPr>
        <w:t xml:space="preserve">Actions precluded beginning with the 127th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 (COR); MRSA T. 1 §1024, sub-§1 (RP).]</w:t>
      </w:r>
    </w:p>
    <w:p>
      <w:pPr>
        <w:jc w:val="both"/>
        <w:spacing w:before="100" w:after="0"/>
        <w:ind w:start="360"/>
        <w:ind w:firstLine="360"/>
      </w:pPr>
      <w:r>
        <w:rPr>
          <w:b/>
        </w:rPr>
        <w:t>1-A</w:t>
        <w:t xml:space="preserve">.  </w:t>
      </w:r>
      <w:r>
        <w:rPr>
          <w:b/>
        </w:rPr>
        <w:t xml:space="preserve">Actions precluded beginning with the 130th Legislature.</w:t>
        <w:t xml:space="preserve"> </w:t>
      </w:r>
      <w:r>
        <w:t xml:space="preserve"> </w:t>
      </w:r>
      <w:r>
        <w:t xml:space="preserve">Beginning with the convening of the 130th Legislature, a person who has served as a Legislator may not engage in compensated lobbying until one year after that person's term as a Legislator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§2 (NEW).]</w:t>
      </w:r>
    </w:p>
    <w:p>
      <w:pPr>
        <w:jc w:val="both"/>
        <w:spacing w:before="100" w:after="0"/>
        <w:ind w:start="360"/>
        <w:ind w:firstLine="360"/>
      </w:pPr>
      <w:r>
        <w:rPr>
          <w:b/>
        </w:rPr>
        <w:t>2</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party against whom the complaint has been filed and may undertake the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w:pPr>
        <w:jc w:val="both"/>
        <w:spacing w:before="100" w:after="0"/>
        <w:ind w:start="720"/>
      </w:pPr>
      <w:r>
        <w:rPr/>
        <w:t>B</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 PL 2019, c. 57, §§1-3 (AMD). RR 2019, c. 1, Pt. A,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§1024. Waiting period before engaging in lobbying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Waiting period before engaging in lobbying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§1024. WAITING PERIOD BEFORE ENGAGING IN LOBBYING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