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Maine Cultural Heritage Week</w:t>
      </w:r>
    </w:p>
    <w:p>
      <w:pPr>
        <w:jc w:val="both"/>
        <w:spacing w:before="100" w:after="100"/>
        <w:ind w:start="360"/>
        <w:ind w:firstLine="360"/>
      </w:pPr>
      <w:r>
        <w:rPr/>
      </w:r>
      <w:r>
        <w:rPr/>
      </w:r>
      <w:r>
        <w:t xml:space="preserve">The Governor shall annually issue a proclamation setting aside that week containing Statehood Day, March 15th, as Maine Cultural Heritage Week.</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recall Maine's lengthy and important traditions in all the arts including literature, the performing arts and the plastic arts and shall acknowledge the many contributions made by Maine's citizens to folk arts and crafts.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recommend the observance of Maine Cultural Heritage Week with appropriate celebration and activity, including public celebration and activity in Maine's schools, colleges, universities, theaters, museums, studios, galleries and workshops.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Maine Arts Commission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1985, c. 763,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294 (NEW). PL 1985, c. 763,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§118. Maine Cultural Heritage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Maine Cultural Heritage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§118. MAINE CULTURAL HERITAGE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