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Equal Pay Day</w:t>
      </w:r>
    </w:p>
    <w:p>
      <w:pPr>
        <w:jc w:val="both"/>
        <w:spacing w:before="100" w:after="100"/>
        <w:ind w:start="360"/>
      </w:pPr>
      <w:r>
        <w:rPr>
          <w:b/>
        </w:rPr>
        <w:t>(REALLOCATED FROM TITLE 1, SECTION 140)</w:t>
      </w:r>
    </w:p>
    <w:p>
      <w:pPr>
        <w:jc w:val="both"/>
        <w:spacing w:before="100" w:after="100"/>
        <w:ind w:start="360"/>
        <w:ind w:firstLine="360"/>
      </w:pPr>
      <w:r>
        <w:rPr/>
      </w:r>
      <w:r>
        <w:rPr/>
      </w:r>
      <w:r>
        <w:t xml:space="preserve">The first Tuesday in April is designated as Equal Pay Day, and the Governor shall annually issue a proclamation inviting and urging the people of the State to observe this day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[RR 2001,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§145. Equal Pay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Equal Pay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§145. EQUAL PAY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