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§147. MAINE AVIATION AND AEROSPACE EDUCATION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