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§150-C. Native American Veterans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§150-C. Native American Veterans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§150-C. NATIVE AMERICAN VETERANS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