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150-E</w:t>
        <w:t xml:space="preserve">.  </w:t>
      </w:r>
      <w:r>
        <w:rPr>
          <w:b/>
        </w:rPr>
        <w:t xml:space="preserve">Lyme Disease Awareness Month</w:t>
      </w:r>
    </w:p>
    <w:p>
      <w:pPr>
        <w:jc w:val="both"/>
        <w:spacing w:before="100" w:after="100"/>
        <w:ind w:start="360"/>
        <w:ind w:firstLine="360"/>
      </w:pPr>
      <w:r>
        <w:rPr/>
      </w:r>
      <w:r>
        <w:rPr/>
      </w:r>
      <w:r>
        <w:t xml:space="preserve">The month of May of each year is designated as Lyme Disease Awareness Month, and the Governor shall annually issue a proclamation inviting and urging the people of the State to observe the month through appropriate activities. During the month, the Department of Health and Human Services, Maine Center for Disease Control and Prevention shall make information available to the public to improve education and awareness about the prevention, diagnosis and treatment of Lyme disease that is consistent with the recommendations of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494,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§150-E. Lyme Disease Awareness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§150-E. Lyme Disease Awareness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§150-E. LYME DISEASE AWARENESS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