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§150-H. JUNETEENTH INDEPENDENCE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