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State treat</w:t>
      </w:r>
    </w:p>
    <w:p>
      <w:pPr>
        <w:jc w:val="both"/>
        <w:spacing w:before="100" w:after="100"/>
        <w:ind w:start="360"/>
        <w:ind w:firstLine="360"/>
      </w:pPr>
      <w:r>
        <w:rPr/>
      </w:r>
      <w:r>
        <w:rPr/>
      </w:r>
      <w:r>
        <w:t xml:space="preserve">The whoopie pie, a baked good made of 2 cakes with a creamy frosting between them, is the official state treat.</w:t>
      </w:r>
      <w:r>
        <w:t xml:space="preserve">  </w:t>
      </w:r>
      <w:r xmlns:wp="http://schemas.openxmlformats.org/drawingml/2010/wordprocessingDrawing" xmlns:w15="http://schemas.microsoft.com/office/word/2012/wordml">
        <w:rPr>
          <w:rFonts w:ascii="Arial" w:hAnsi="Arial" w:cs="Arial"/>
          <w:sz w:val="22"/>
          <w:szCs w:val="22"/>
        </w:rPr>
        <w:t xml:space="preserve">[PL 2011,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§225. State treat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State treat</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§225. STATE TREAT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