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Proclamation and publication</w:t>
      </w:r>
    </w:p>
    <w:p>
      <w:pPr>
        <w:jc w:val="both"/>
        <w:spacing w:before="100" w:after="100"/>
        <w:ind w:start="360"/>
        <w:ind w:firstLine="360"/>
      </w:pPr>
      <w:r>
        <w:rPr/>
      </w:r>
      <w:r>
        <w:rPr/>
      </w:r>
      <w:r>
        <w:t xml:space="preserve">Within 30 days after it appears that a constitutional amendment has been adopted, the Governor shall make proclamation thereof, and the Secretary of State shall forthwith cause such proclamation to be published in the state paper, and it shall be included in the next volume of Acts and resolves.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§352. Proclamation and publication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Proclamation and publication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§352. PROCLAMATION AND PUBLICATION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