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712</w:t>
        <w:t xml:space="preserve">.  </w:t>
      </w:r>
      <w:r>
        <w:rPr>
          <w:b/>
        </w:rPr>
        <w:t xml:space="preserve">Acts performed at emergency location are valid and binding</w:t>
      </w:r>
    </w:p>
    <w:p>
      <w:pPr>
        <w:jc w:val="both"/>
        <w:spacing w:before="100" w:after="100"/>
        <w:ind w:start="360"/>
        <w:ind w:firstLine="360"/>
      </w:pPr>
      <w:r>
        <w:rPr/>
      </w:r>
      <w:r>
        <w:rPr/>
      </w:r>
      <w:r>
        <w:t xml:space="preserve">During such time as the seat of government remains at such emergency temporary location, or locations, all official acts now or hereafter required by law to be performed at the seat of government by any officer, agency, department or authority of this State, including the convening and meeting of the Legislature in regular, extraordinary or emergency session, shall be as valid and binding when performed at such emergency temporary location, or locations, as if performed at the normal location of the seat of government.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§712. Acts performed at emergency location are valid and binding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§712. Acts performed at emergency location are valid and binding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§712. ACTS PERFORMED AT EMERGENCY LOCATION ARE VALID AND BINDING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