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w:t>
        <w:t xml:space="preserve">.  </w:t>
      </w:r>
      <w:r>
        <w:rPr>
          <w:b/>
        </w:rPr>
        <w:t xml:space="preserve">Majority</w:t>
      </w:r>
    </w:p>
    <w:p>
      <w:pPr>
        <w:jc w:val="both"/>
        <w:spacing w:before="100" w:after="100"/>
        <w:ind w:start="360"/>
        <w:ind w:firstLine="360"/>
      </w:pPr>
      <w:r>
        <w:rPr/>
      </w:r>
      <w:r>
        <w:rPr/>
      </w:r>
      <w:r>
        <w:t xml:space="preserve">The common law rule that a person is a minor to the age of 20 is abrogated and persons 18 years of age or over are declared to be of majority for all purposes.</w:t>
      </w:r>
      <w:r>
        <w:t xml:space="preserve">  </w:t>
      </w:r>
      <w:r xmlns:wp="http://schemas.openxmlformats.org/drawingml/2010/wordprocessingDrawing" xmlns:w15="http://schemas.microsoft.com/office/word/2012/wordml">
        <w:rPr>
          <w:rFonts w:ascii="Arial" w:hAnsi="Arial" w:cs="Arial"/>
          <w:sz w:val="22"/>
          <w:szCs w:val="22"/>
        </w:rPr>
        <w:t xml:space="preserve">[PL 1971, c. 598,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 (NEW). PL 1971, c. 598,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 Majority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 Majority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§73. MAJORITY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