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Ineligible persons</w:t>
      </w:r>
    </w:p>
    <w:p>
      <w:pPr>
        <w:jc w:val="both"/>
        <w:spacing w:before="100" w:after="100"/>
        <w:ind w:start="360"/>
        <w:ind w:firstLine="360"/>
      </w:pPr>
      <w:r>
        <w:rPr/>
      </w:r>
      <w:r>
        <w:rPr/>
      </w:r>
      <w:r>
        <w:t xml:space="preserve">Persons who are qualified to receive relocation benefits under </w:t>
      </w:r>
      <w:r>
        <w:t>chapter 23</w:t>
      </w:r>
      <w:r>
        <w:t xml:space="preserve"> and the United States Uniform Relocation Assistance and Real Property Acquisition Policies Act of 1970, Public Law 91-646, are not eligible for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Ineligible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Ineligible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§954. INELIGIBLE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