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MANUFACTURERS' REBATES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206-A. MANUFACTURERS'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