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§1023-J. AGRICULTURAL MARKETING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