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Trust agreements;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Trust agreements;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§1065. TRUST AGREEMENTS;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