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1166</w:t>
        <w:t xml:space="preserve">.  </w:t>
      </w:r>
      <w:r>
        <w:rPr>
          <w:b/>
        </w:rPr>
        <w:t xml:space="preserve">Unfair or deceptive trade practice</w:t>
      </w:r>
    </w:p>
    <w:p>
      <w:pPr>
        <w:jc w:val="both"/>
        <w:spacing w:before="100" w:after="100"/>
        <w:ind w:start="360"/>
        <w:ind w:firstLine="360"/>
      </w:pPr>
      <w:r>
        <w:rPr/>
      </w:r>
      <w:r>
        <w:rPr/>
      </w:r>
      <w:r>
        <w:t xml:space="preserve">A violation of any of the provisions of this chapter shall be considered prima facie evidence of an unfair or deceptive trade practice under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§1166. Unfair or deceptive trade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§1166. Unfair or deceptive trade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§1166. UNFAIR OR DECEPTIVE TRADE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