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§1168. New car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New car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§1168. NEW CAR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