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Remedies</w:t>
      </w:r>
    </w:p>
    <w:p>
      <w:pPr>
        <w:jc w:val="both"/>
        <w:spacing w:before="100" w:after="100"/>
        <w:ind w:start="360"/>
        <w:ind w:firstLine="360"/>
      </w:pPr>
      <w:r>
        <w:rPr/>
      </w:r>
      <w:r>
        <w:rPr/>
      </w:r>
      <w:r>
        <w:t xml:space="preserve">A person likely to be damaged by a deceptive trade practice of another may be granted an injunction against it under the principles of equity and on terms that the court considers reasonable. Proof of monetary damage, loss of profits or intent to deceive is not required. Relief granted for the copying of an article shall be limited to the prevention of confusion or misunderstanding as to source.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100"/>
        <w:ind w:start="360"/>
        <w:ind w:firstLine="360"/>
      </w:pPr>
      <w:r>
        <w:rPr/>
      </w:r>
      <w:r>
        <w:rPr/>
      </w:r>
      <w:r>
        <w:t xml:space="preserve">The court in exceptional cases may award reasonable attorney's fees to the prevailing party. Costs or attorney's fees may be assessed against a defendant only if the court finds that the defendant has willfully engaged in a deceptive trade practice.</w:t>
      </w:r>
      <w:r>
        <w:t xml:space="preserve">  </w:t>
      </w:r>
      <w:r xmlns:wp="http://schemas.openxmlformats.org/drawingml/2010/wordprocessingDrawing" xmlns:w15="http://schemas.microsoft.com/office/word/2012/wordml">
        <w:rPr>
          <w:rFonts w:ascii="Arial" w:hAnsi="Arial" w:cs="Arial"/>
          <w:sz w:val="22"/>
          <w:szCs w:val="22"/>
        </w:rPr>
        <w:t xml:space="preserve">[RR 2023, c. 2, Pt. C, §25 (COR).]</w:t>
      </w:r>
    </w:p>
    <w:p>
      <w:pPr>
        <w:jc w:val="both"/>
        <w:spacing w:before="100" w:after="100"/>
        <w:ind w:start="360"/>
        <w:ind w:firstLine="360"/>
      </w:pPr>
      <w:r>
        <w:rPr/>
      </w:r>
      <w:r>
        <w:rPr/>
      </w:r>
      <w:r>
        <w:t xml:space="preserve">The relief provided in this section is in addition to remedies otherwise available against the same conduct under the common law or other statutes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RR 2023, c. 2, Pt. C,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§1213.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§1213.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