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§1442-A. WRITTEN AGREEMENTS; DESIGNATED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