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§1498. Automated telephone solicitation prohibited;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Automated telephone solicitation prohibited;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§1498. AUTOMATED TELEPHONE SOLICITATION PROHIBITED;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