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§3263. PETITION FOR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