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3328</w:t>
        <w:t xml:space="preserve">.  </w:t>
      </w:r>
      <w:r>
        <w:rPr>
          <w:b/>
        </w:rPr>
        <w:t xml:space="preserve">Request for injunction</w:t>
      </w:r>
    </w:p>
    <w:p>
      <w:pPr>
        <w:jc w:val="both"/>
        <w:spacing w:before="100" w:after="100"/>
        <w:ind w:start="360"/>
        <w:ind w:firstLine="360"/>
      </w:pPr>
      <w:r>
        <w:rPr/>
      </w:r>
      <w:r>
        <w:rPr/>
      </w:r>
      <w:r>
        <w:t xml:space="preserve">The plaintiff in an action that is brought to foreclose any of the liens that are provided for in this chapter may, in a proper case, and upon proper allegations, secure an injunction against the processor to restrain the doing of any acts on the part of the processor that are designed to or that would, in effect, remove any processed product in the possession of or under the control of the processor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[RR 2023, c. 2, Pt. C,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§3328. Request for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§3328. Request for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§3328. REQUEST FOR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