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§383. PROGRAM FUNDS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