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Labor and materials; owners of dry docks or marine railways</w:t>
      </w:r>
    </w:p>
    <w:p>
      <w:pPr>
        <w:jc w:val="both"/>
        <w:spacing w:before="100" w:after="100"/>
        <w:ind w:start="360"/>
        <w:ind w:firstLine="360"/>
      </w:pPr>
      <w:r>
        <w:rPr/>
      </w:r>
      <w:r>
        <w:rPr/>
      </w:r>
      <w:r>
        <w:t xml:space="preserve">A person who furnishes labor or materials for building a vessel has a lien on it for the labor and materials, which may be enforced by attachment of the vessel within 4 days after it is launched, but if the labor and materials have been so furnished by virtue of a contract not fully completed at the time of the launching of the vessel, the lien may be enforced within 4 days after the contract has been completed.  The person has a lien on the materials furnished before they become part of the vessel, which may be enforced by attachment.  The owners of a dry dock or marine railway used for a vessel have a lien on the vessel for the use of the dock or railway, to be enforced by attachment within 4 days after the last day in which the dock or railway is used or occupied by the vessel.</w:t>
      </w:r>
      <w:r>
        <w:t xml:space="preserve">  </w:t>
      </w:r>
      <w:r xmlns:wp="http://schemas.openxmlformats.org/drawingml/2010/wordprocessingDrawing" xmlns:w15="http://schemas.microsoft.com/office/word/2012/wordml">
        <w:rPr>
          <w:rFonts w:ascii="Arial" w:hAnsi="Arial" w:cs="Arial"/>
          <w:sz w:val="22"/>
          <w:szCs w:val="22"/>
        </w:rPr>
        <w:t xml:space="preserve">[RR 2023, c. 2, Pt. C,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§3852. Labor and materials; owners of dry docks or marine railways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Labor and materials; owners of dry docks or marine railways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§3852. LABOR AND MATERIALS; OWNERS OF DRY DOCKS OR MARINE RAILWAYS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