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§386. Eligible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Eligible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 ELIGIBLE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