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3867</w:t>
        <w:t xml:space="preserve">.  </w:t>
      </w:r>
      <w:r>
        <w:rPr>
          <w:b/>
        </w:rPr>
        <w:t xml:space="preserve">Nonlien claims not prevented by lien claims</w:t>
      </w:r>
    </w:p>
    <w:p>
      <w:pPr>
        <w:jc w:val="both"/>
        <w:spacing w:before="100" w:after="100"/>
        <w:ind w:start="360"/>
        <w:ind w:firstLine="360"/>
      </w:pPr>
      <w:r>
        <w:rPr/>
      </w:r>
      <w:r>
        <w:rPr/>
      </w:r>
      <w:r>
        <w:t xml:space="preserve">A vessel attached for a lien claim may be attached by the same officer in the ordinary manner in an action against the owners thereof, and such attachment shall be valid, subject to the legal priorities of the lien attachments.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§3867. Nonlien claims not prevented by lien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§3867. Nonlien claims not prevented by lien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§3867. NONLIEN CLAIMS NOT PREVENTED BY LIEN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