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Sale after 6 months</w:t>
      </w:r>
    </w:p>
    <w:p>
      <w:pPr>
        <w:jc w:val="both"/>
        <w:spacing w:before="100" w:after="100"/>
        <w:ind w:start="360"/>
        <w:ind w:firstLine="360"/>
      </w:pPr>
      <w:r>
        <w:rPr/>
      </w:r>
      <w:r>
        <w:rPr/>
      </w:r>
      <w:r>
        <w:t xml:space="preserve">The lienholder shall retain any item subject to a lien under </w:t>
      </w:r>
      <w:r>
        <w:t>section 3951</w:t>
      </w:r>
      <w:r>
        <w:t xml:space="preserve"> for a period of 6 months, at the expiration of which time, if the lien is not satisfied, the lienholder may sell the item at public or private sale, after giving 30 days' notice in writing to the owner, specifying the amount due, describing the item to be sold and informing the owner that the payment of the amount within 30 days entitles the owner to redeem the item.  The notice may be given by mail addressed to the owner's place of residence if known, or if the owner's place of residence is unknown, a copy of the notice may be posted by the holder of the lien in 2 public places in the town, village or city where the item is held.</w:t>
      </w:r>
      <w:r>
        <w:t xml:space="preserve">  </w:t>
      </w:r>
      <w:r xmlns:wp="http://schemas.openxmlformats.org/drawingml/2010/wordprocessingDrawing" xmlns:w15="http://schemas.microsoft.com/office/word/2012/wordml">
        <w:rPr>
          <w:rFonts w:ascii="Arial" w:hAnsi="Arial" w:cs="Arial"/>
          <w:sz w:val="22"/>
          <w:szCs w:val="22"/>
        </w:rPr>
        <w:t xml:space="preserve">[PL 1991, c. 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 §2 (AMD). PL 1991, c. 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§3952. Sale after 6 months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Sale after 6 months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§3952. SALE AFTER 6 MONTHS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