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Sale</w:t>
      </w:r>
    </w:p>
    <w:p>
      <w:pPr>
        <w:jc w:val="both"/>
        <w:spacing w:before="100" w:after="100"/>
        <w:ind w:start="360"/>
        <w:ind w:firstLine="360"/>
      </w:pPr>
      <w:r>
        <w:rPr/>
      </w:r>
      <w:r>
        <w:rPr/>
      </w:r>
      <w:r>
        <w:t xml:space="preserve">Whoever has a lien on personal property in that person's possession which is not covered by </w:t>
      </w:r>
      <w:r>
        <w:t>Title 11, Article 9‑A</w:t>
      </w:r>
      <w:r>
        <w:t xml:space="preserve"> may enforce it by a sale thereof in the manner provided for in the contract creating such lien, if in writing, or as hereinafter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699, Pt. D, §8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§D8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§4001.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§4001.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