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Except as provided in </w:t>
      </w:r>
      <w:r>
        <w:t>subsection 13</w:t>
      </w:r>
      <w:r>
        <w:t xml:space="preserve"> 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2023, c. 625, §3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 deputy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§4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§5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§6 (AMD).]</w:t>
      </w:r>
    </w:p>
    <w:p>
      <w:pPr>
        <w:jc w:val="both"/>
        <w:spacing w:before="100" w:after="0"/>
        <w:ind w:start="360"/>
        <w:ind w:firstLine="360"/>
      </w:pPr>
      <w:r>
        <w:rPr>
          <w:b/>
        </w:rPr>
        <w:t>13</w:t>
        <w:t xml:space="preserve">.  </w:t>
      </w:r>
      <w:r>
        <w:rPr>
          <w:b/>
        </w:rPr>
        <w:t xml:space="preserve">Emergency authority.</w:t>
        <w:t xml:space="preserve"> </w:t>
      </w:r>
      <w:r>
        <w:t xml:space="preserve"> </w:t>
      </w:r>
      <w:r>
        <w:t xml:space="preserve">When a state of emergency is declared pursuant to state or federal law, temporarily modify or suspend any continuing education requirements, license expiration dates, examination requirements, license fees or other licensing requirements as necessitated by the declared emergency.  The temporary modification or suspension may extend no more than one year beyond the date the state of emergency is declared.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PL 2023, c. 625,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Duties and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Duties and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§8002. DUTIES AND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