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Complaint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§8003-A. COMPLAINT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