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§8007. BOARD MEMBER CANDIDATE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