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§9065-A. Preoccupancy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§9065-A. Preoccupancy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§9065-A. PREOCCUPANCY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