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§9097-A. Unfair rental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§9097-A. Unfair rental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§9097-A. UNFAIR RENTAL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