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946</w:t>
        <w:t xml:space="preserve">.  </w:t>
      </w:r>
      <w:r>
        <w:rPr>
          <w:b/>
        </w:rPr>
        <w:t xml:space="preserve">Establishment</w:t>
      </w:r>
    </w:p>
    <w:p>
      <w:pPr>
        <w:jc w:val="both"/>
        <w:spacing w:before="100" w:after="100"/>
        <w:ind w:start="360"/>
        <w:ind w:firstLine="360"/>
      </w:pPr>
      <w:r>
        <w:rPr/>
      </w:r>
      <w:r>
        <w:rPr/>
      </w:r>
      <w:r>
        <w:t xml:space="preserve">The Maine Economic Improvement Fund is established to administer investments in targeted research and development and product innovation and to provide the basic investment necessary to obtain matching funds and competitive grants from private and federal sources.</w:t>
      </w:r>
      <w:r>
        <w:t xml:space="preserve">  </w:t>
      </w:r>
      <w:r xmlns:wp="http://schemas.openxmlformats.org/drawingml/2010/wordprocessingDrawing" xmlns:w15="http://schemas.microsoft.com/office/word/2012/wordml">
        <w:rPr>
          <w:rFonts w:ascii="Arial" w:hAnsi="Arial" w:cs="Arial"/>
          <w:sz w:val="22"/>
          <w:szCs w:val="22"/>
        </w:rPr>
        <w:t xml:space="preserve">[PL 1997, c. 556,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§946.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§946.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§946.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