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§988-A. Natural Resources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§988-A. Natural Resources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§988-A. NATURAL RESOURCES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