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LETTERS OF CREDIT</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5-104</w:t>
        <w:t xml:space="preserve">.  </w:t>
      </w:r>
      <w:r>
        <w:rPr>
          <w:b/>
        </w:rPr>
        <w:t xml:space="preserve">Formal requirements; signing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jc w:val="both"/>
        <w:spacing w:before="100" w:after="100"/>
        <w:ind w:start="1080" w:hanging="720"/>
      </w:pPr>
      <w:r>
        <w:rPr>
          <w:b/>
        </w:rPr>
        <w:t>§</w:t>
        <w:t>5-109</w:t>
        <w:t xml:space="preserve">.  </w:t>
      </w:r>
      <w:r>
        <w:rPr>
          <w:b/>
        </w:rPr>
        <w:t xml:space="preserve">Issuer's obligations to its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5-113</w:t>
        <w:t xml:space="preserve">.  </w:t>
      </w:r>
      <w:r>
        <w:rPr>
          <w:b/>
        </w:rPr>
        <w:t xml:space="preserve">Indemnities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jc w:val="both"/>
        <w:spacing w:before="100" w:after="100"/>
        <w:ind w:start="1080" w:hanging="720"/>
      </w:pPr>
      <w:r>
        <w:rPr>
          <w:b/>
        </w:rPr>
        <w:t>§</w:t>
        <w:t>5-115</w:t>
        <w:t xml:space="preserve">.  </w:t>
      </w:r>
      <w:r>
        <w:rPr>
          <w:b/>
        </w:rPr>
        <w:t xml:space="preserve">Remedy for improper dishonor anticipatory repudiation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5. LETTERS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LETTERS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5. LETTERS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