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(g)</w:t>
        <w:t xml:space="preserve">.  </w:t>
      </w:r>
      <w:r>
        <w:rPr/>
      </w:r>
      <w:r>
        <w:t>Sections 9‑1301</w:t>
      </w:r>
      <w:r>
        <w:t xml:space="preserve"> to </w:t>
      </w:r>
      <w:r>
        <w:t>9‑1307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(h)</w:t>
        <w:t xml:space="preserve">.  </w:t>
      </w:r>
      <w:r>
        <w:rPr/>
      </w:r>
      <w:r>
        <w:t>Section 12‑107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§1-1301. Territorial applicability; parties' power to choose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Territorial applicability; parties' power to choose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§1-1301. TERRITORIAL APPLICABILITY; PARTIES' POWER TO CHOOSE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