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w:t>
        <w:t xml:space="preserve">.  </w:t>
      </w:r>
      <w:r>
        <w:rPr>
          <w:b/>
        </w:rPr>
        <w:t xml:space="preserve">Statute of frauds for kinds of personal property not otherwise covered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 (AMD). PL 2009, c. 325, Pt. A, §1 (RP).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§1-206. Statute of frauds for kinds of personal property not otherwise covered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 Statute of frauds for kinds of personal property not otherwise covered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§1-206. STATUTE OF FRAUDS FOR KINDS OF PERSONAL PROPERTY NOT OTHERWISE COVERED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