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10-107</w:t>
        <w:t xml:space="preserve">.  </w:t>
      </w:r>
      <w:r>
        <w:rPr>
          <w:b/>
        </w:rPr>
        <w:t xml:space="preserve">Transition provisions as to priorities</w:t>
      </w:r>
    </w:p>
    <w:p>
      <w:pPr>
        <w:jc w:val="both"/>
        <w:spacing w:before="100" w:after="100"/>
        <w:ind w:start="360"/>
        <w:ind w:firstLine="360"/>
      </w:pPr>
      <w:r>
        <w:rPr/>
      </w:r>
      <w:r>
        <w:rPr/>
      </w:r>
      <w:r>
        <w:t xml:space="preserve">Except as otherwise provided in this Article, the old code shall apply to any questions of priority if the positions of the parties were fixed prior to the effective date of public law, 1977, chapter 526. In other cases, questions of priority shall be determined by the new code.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§10-107. Transition provisions as to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§10-107. Transition provisions as to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§10-107. TRANSITION PROVISIONS AS TO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