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For the purposes of this Article, unless the context otherwise indicates, the following terms have the following meanings.</w:t>
      </w:r>
    </w:p>
    <w:p>
      <w:pPr>
        <w:jc w:val="both"/>
        <w:spacing w:before="100" w:after="0"/>
        <w:ind w:start="720"/>
      </w:pPr>
      <w:r>
        <w:rPr/>
        <w:t>(a)</w:t>
        <w:t xml:space="preserve">.  </w:t>
      </w:r>
      <w:r>
        <w:rPr/>
      </w:r>
      <w:r>
        <w:t xml:space="preserve">"Adjustment date" means July 1, 2026.</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w:t>
      </w:r>
      <w:r>
        <w:t>Article 12</w:t>
      </w:r>
      <w:r>
        <w:t xml:space="preserve">" means </w:t>
      </w:r>
      <w:r>
        <w:t>Article 12</w:t>
      </w:r>
      <w:r>
        <w:t xml:space="preserve">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w:t>
      </w:r>
      <w:r>
        <w:t>Article 12</w:t>
      </w:r>
      <w:r>
        <w:t xml:space="preserve"> property" means a controllable account, controllable electronic record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The following definitions in other Articles of the Uniform Commercial Code apply to this Article:</w:t>
      </w:r>
    </w:p>
    <w:p>
      <w:pPr>
        <w:jc w:val="both"/>
        <w:spacing w:before="100" w:after="0"/>
        <w:ind w:start="720"/>
      </w:pPr>
      <w:r>
        <w:rPr/>
        <w:t>(a)</w:t>
        <w:t xml:space="preserve">.  </w:t>
      </w:r>
      <w:r>
        <w:rPr/>
      </w:r>
      <w:r>
        <w:t xml:space="preserve">"Controllable account," </w:t>
      </w:r>
      <w:r>
        <w:t>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"Controllable electronic record," </w:t>
      </w:r>
      <w:r>
        <w:t>section 12‑102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"Controllable payment intangible," </w:t>
      </w:r>
      <w:r>
        <w:t>section 9‑1102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(d)</w:t>
        <w:t xml:space="preserve">.  </w:t>
      </w:r>
      <w:r>
        <w:rPr/>
      </w:r>
      <w:r>
        <w:t xml:space="preserve">"Financing statement," </w:t>
      </w:r>
      <w:r>
        <w:t>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Article 1‑A</w:t>
      </w:r>
      <w:r>
        <w:t xml:space="preserve">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