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(h-1)</w:t>
        <w:t xml:space="preserve">.  </w:t>
      </w:r>
      <w:r>
        <w:rPr>
          <w:b/>
        </w:rPr>
        <w:t>(TEXT EFFECTIVE 7/01/25)</w:t>
        <w:t xml:space="preserve"> </w:t>
      </w:r>
      <w:r>
        <w:rPr/>
      </w:r>
      <w:r>
        <w:t xml:space="preserve">"Hybrid lease" means a single transaction involving a lease of goods and:</w:t>
      </w:r>
    </w:p>
    <w:p>
      <w:pPr>
        <w:jc w:val="both"/>
        <w:spacing w:before="100" w:after="0"/>
        <w:ind w:start="1080"/>
      </w:pPr>
      <w:r>
        <w:rPr/>
        <w:t>(</w:t>
        <w:t>i</w:t>
        <w:t xml:space="preserve">)  </w:t>
      </w:r>
      <w:r>
        <w:rPr/>
      </w:r>
      <w:r>
        <w:t xml:space="preserve">The provision of services;</w:t>
      </w:r>
    </w:p>
    <w:p>
      <w:pPr>
        <w:jc w:val="both"/>
        <w:spacing w:before="100" w:after="0"/>
        <w:ind w:start="1080"/>
      </w:pPr>
      <w:r>
        <w:rPr/>
        <w:t>(</w:t>
        <w:t>ii</w:t>
        <w:t xml:space="preserve">)  </w:t>
      </w:r>
      <w:r>
        <w:rPr/>
      </w:r>
      <w:r>
        <w:t xml:space="preserve">A sale of other goods; or</w:t>
      </w:r>
    </w:p>
    <w:p>
      <w:pPr>
        <w:jc w:val="both"/>
        <w:spacing w:before="100" w:after="0"/>
        <w:ind w:start="1080"/>
      </w:pPr>
      <w:r>
        <w:rPr/>
        <w:t>(</w:t>
        <w:t>iii</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§23 (NEW); PL 2023, c. 669, Pt. E, §1 (AFF).]</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 PL 2023, c. 669, Pt. A, §23 (AMD); PL 2023, c. 669, Pt. E, §1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Section 2‑326.</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(3)</w:t>
        <w:t xml:space="preserve">.  </w:t>
      </w:r>
      <w:r>
        <w:rPr>
          <w:b/>
        </w:rPr>
        <w:t>(TEXT EFFECTIVE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pPr>
      <w:r>
        <w:t xml:space="preserve">"Chattel paper."  </w:t>
      </w:r>
      <w:r>
        <w:t>Section 9‑1102, subsection (11‑A)</w:t>
      </w:r>
      <w:r>
        <w:t xml:space="preserve">.</w:t>
      </w:r>
    </w:p>
    <w:p xmlns:wp="http://schemas.openxmlformats.org/drawingml/2010/wordprocessingDrawing" xmlns:w15="http://schemas.microsoft.com/office/word/2012/wordml">
      <w:pPr>
        <w:spacing w:before="100" w:after="100"/>
        <w:ind w:start="360"/>
        <w:ind w:firstLine="0"/>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pPr>
      <w:r>
        <w:t xml:space="preserve">"General intangible."  </w:t>
      </w:r>
      <w:r>
        <w:t>Section 9‑1102, subsection (42)</w:t>
      </w:r>
      <w:r>
        <w:t xml:space="preserve">. </w:t>
      </w:r>
    </w:p>
    <w:p xmlns:wp="http://schemas.openxmlformats.org/drawingml/2010/wordprocessingDrawing" xmlns:w15="http://schemas.microsoft.com/office/word/2012/wordml">
      <w:pPr>
        <w:spacing w:before="100" w:after="100"/>
        <w:ind w:start="360"/>
        <w:ind w:firstLine="0"/>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§24 (AMD); PL 2023, c. 669, Pt. E, §1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PL 2023, c. 669, Pt. A, §§23, 24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