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2-1204</w:t>
        <w:t xml:space="preserve">.  </w:t>
      </w:r>
      <w:r>
        <w:rPr>
          <w:b/>
        </w:rPr>
        <w:t xml:space="preserve">Formation in general</w:t>
      </w:r>
    </w:p>
    <w:p>
      <w:pPr>
        <w:jc w:val="both"/>
        <w:spacing w:before="100" w:after="0"/>
        <w:ind w:start="360"/>
        <w:ind w:firstLine="360"/>
      </w:pPr>
      <w:r>
        <w:rPr>
          <w:b/>
        </w:rPr>
        <w:t>(1)</w:t>
        <w:t xml:space="preserve">.  </w:t>
      </w:r>
      <w:r>
        <w:rPr>
          <w:b/>
        </w:rPr>
      </w:r>
      <w:r>
        <w:t xml:space="preserve"> </w:t>
      </w:r>
      <w:r>
        <w:t xml:space="preserve">A lease contract may be made in any manner sufficient to show agreement, including conduct by both parties that recognizes the existence of a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An agreement sufficient to constitute a lease contract may be found although the moment of its making is undetermined.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Although one or more terms are left open, a lease contract does not fail for indefiniteness if the parties have intended to make a lease contract and there is a reasonably certain basis for giving an appropriate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§2-1204. Formation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§2-1204. Formation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§2-1204. FORMATION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