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2-1308</w:t>
        <w:t xml:space="preserve">.  </w:t>
      </w:r>
      <w:r>
        <w:rPr>
          <w:b/>
        </w:rPr>
        <w:t xml:space="preserve">Special rights of creditors</w:t>
      </w:r>
    </w:p>
    <w:p>
      <w:pPr>
        <w:jc w:val="both"/>
        <w:spacing w:before="100" w:after="0"/>
        <w:ind w:start="360"/>
        <w:ind w:firstLine="360"/>
      </w:pPr>
      <w:r>
        <w:rPr>
          <w:b/>
        </w:rPr>
        <w:t>(1)</w:t>
        <w:t xml:space="preserve">.  </w:t>
      </w:r>
      <w:r>
        <w:rPr>
          <w:b/>
        </w:rPr>
      </w:r>
      <w:r>
        <w:t xml:space="preserve"> </w:t>
      </w:r>
      <w:r>
        <w:t xml:space="preserve">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Nothing in this Article impairs the rights of creditors of a lessor if the lease contract becomes enforceable, not in current course of trade but in satisfaction of or as security for a preexisting claim for money, security or the like, and if the lease contract is made under circumstances that under any statute or rule of law apart from this Article would constitute the transaction a fraudulent transfer or voidable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§2-1308. Special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§2-1308. Special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§2-1308. SPECIAL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